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5522" w14:textId="5822B3EA" w:rsidR="00682DD9" w:rsidRPr="00682DD9" w:rsidRDefault="0570AC43" w:rsidP="0570AC43">
      <w:pPr>
        <w:spacing w:line="276" w:lineRule="auto"/>
        <w:rPr>
          <w:rFonts w:ascii="Garamond" w:hAnsi="Garamond"/>
          <w:b/>
          <w:bCs/>
          <w:i/>
          <w:iCs/>
          <w:sz w:val="40"/>
          <w:szCs w:val="40"/>
        </w:rPr>
      </w:pPr>
      <w:r w:rsidRPr="0570AC43">
        <w:rPr>
          <w:rFonts w:ascii="Garamond" w:hAnsi="Garamond"/>
          <w:b/>
          <w:bCs/>
          <w:i/>
          <w:iCs/>
          <w:sz w:val="40"/>
          <w:szCs w:val="40"/>
        </w:rPr>
        <w:t>Journal of the Midwest Modern Language Association</w:t>
      </w:r>
    </w:p>
    <w:p w14:paraId="372D3D74" w14:textId="1BA9EA32" w:rsidR="74D8FF9B" w:rsidRDefault="00251ABA" w:rsidP="0570AC43">
      <w:pPr>
        <w:spacing w:line="276" w:lineRule="auto"/>
      </w:pPr>
      <w:r>
        <w:rPr>
          <w:rFonts w:ascii="Garamond" w:hAnsi="Garamond"/>
          <w:b/>
          <w:bCs/>
          <w:sz w:val="36"/>
          <w:szCs w:val="36"/>
        </w:rPr>
        <w:t>Going Public</w:t>
      </w:r>
    </w:p>
    <w:p w14:paraId="59743BA4" w14:textId="4347962A" w:rsidR="00EE101C" w:rsidRPr="00D53FEE" w:rsidRDefault="00251ABA" w:rsidP="0570AC43">
      <w:pPr>
        <w:spacing w:line="276" w:lineRule="auto"/>
        <w:rPr>
          <w:rFonts w:ascii="Garamond" w:hAnsi="Garamond"/>
          <w:b/>
          <w:bCs/>
          <w:sz w:val="36"/>
          <w:szCs w:val="36"/>
        </w:rPr>
      </w:pPr>
      <w:r>
        <w:rPr>
          <w:rFonts w:ascii="Garamond" w:hAnsi="Garamond"/>
          <w:b/>
          <w:bCs/>
          <w:sz w:val="36"/>
          <w:szCs w:val="36"/>
        </w:rPr>
        <w:t>Fall</w:t>
      </w:r>
      <w:r w:rsidR="00523EF5">
        <w:rPr>
          <w:rFonts w:ascii="Garamond" w:hAnsi="Garamond"/>
          <w:b/>
          <w:bCs/>
          <w:sz w:val="36"/>
          <w:szCs w:val="36"/>
        </w:rPr>
        <w:t xml:space="preserve"> 2024</w:t>
      </w:r>
      <w:r w:rsidR="0570AC43" w:rsidRPr="0570AC43">
        <w:rPr>
          <w:rFonts w:ascii="Garamond" w:hAnsi="Garamond"/>
          <w:b/>
          <w:bCs/>
          <w:sz w:val="36"/>
          <w:szCs w:val="36"/>
        </w:rPr>
        <w:t>, Volume 5</w:t>
      </w:r>
      <w:r w:rsidR="00523EF5">
        <w:rPr>
          <w:rFonts w:ascii="Garamond" w:hAnsi="Garamond"/>
          <w:b/>
          <w:bCs/>
          <w:sz w:val="36"/>
          <w:szCs w:val="36"/>
        </w:rPr>
        <w:t>7</w:t>
      </w:r>
      <w:r w:rsidR="0570AC43" w:rsidRPr="0570AC43">
        <w:rPr>
          <w:rFonts w:ascii="Garamond" w:hAnsi="Garamond"/>
          <w:b/>
          <w:bCs/>
          <w:sz w:val="36"/>
          <w:szCs w:val="36"/>
        </w:rPr>
        <w:t xml:space="preserve">, Number </w:t>
      </w:r>
      <w:r>
        <w:rPr>
          <w:rFonts w:ascii="Garamond" w:hAnsi="Garamond"/>
          <w:b/>
          <w:bCs/>
          <w:sz w:val="36"/>
          <w:szCs w:val="36"/>
        </w:rPr>
        <w:t>2</w:t>
      </w:r>
    </w:p>
    <w:p w14:paraId="0C2B5370" w14:textId="707A70C2" w:rsidR="697712DE" w:rsidRDefault="697712DE" w:rsidP="0570AC43">
      <w:pPr>
        <w:spacing w:line="276" w:lineRule="auto"/>
        <w:rPr>
          <w:rFonts w:ascii="Garamond" w:hAnsi="Garamond"/>
        </w:rPr>
      </w:pPr>
    </w:p>
    <w:p w14:paraId="66318D1D" w14:textId="4345CB03" w:rsidR="0570AC43" w:rsidRDefault="0570AC43" w:rsidP="0570AC43">
      <w:pPr>
        <w:spacing w:line="276" w:lineRule="auto"/>
        <w:rPr>
          <w:rFonts w:ascii="Garamond" w:hAnsi="Garamond"/>
        </w:rPr>
      </w:pPr>
    </w:p>
    <w:p w14:paraId="27A8B6BD" w14:textId="4D708819" w:rsidR="697712DE" w:rsidRPr="00523EF5" w:rsidRDefault="002F379E" w:rsidP="0570AC43">
      <w:pPr>
        <w:spacing w:line="276" w:lineRule="auto"/>
        <w:rPr>
          <w:rFonts w:ascii="Garamond" w:hAnsi="Garamond"/>
          <w:b/>
          <w:bCs/>
          <w:i/>
          <w:iCs/>
          <w:sz w:val="28"/>
          <w:szCs w:val="28"/>
        </w:rPr>
      </w:pPr>
      <w:r>
        <w:rPr>
          <w:rFonts w:ascii="Garamond" w:hAnsi="Garamond"/>
          <w:b/>
          <w:bCs/>
          <w:sz w:val="28"/>
          <w:szCs w:val="28"/>
        </w:rPr>
        <w:t>Going Public with Christina Rossetti’s Private Reading of “The Woodspurge”</w:t>
      </w:r>
    </w:p>
    <w:p w14:paraId="1C6EE58B" w14:textId="77777777" w:rsidR="004C66F3" w:rsidRDefault="004C66F3" w:rsidP="0570AC43">
      <w:pPr>
        <w:spacing w:line="276" w:lineRule="auto"/>
        <w:rPr>
          <w:rFonts w:ascii="Garamond" w:hAnsi="Garamond"/>
        </w:rPr>
      </w:pPr>
    </w:p>
    <w:p w14:paraId="0989265B" w14:textId="483AC583" w:rsidR="59879940" w:rsidRDefault="002F379E" w:rsidP="0570AC43">
      <w:pPr>
        <w:spacing w:line="276" w:lineRule="auto"/>
      </w:pPr>
      <w:r>
        <w:rPr>
          <w:rFonts w:ascii="Garamond" w:hAnsi="Garamond"/>
        </w:rPr>
        <w:t>Mark William Brown</w:t>
      </w:r>
    </w:p>
    <w:p w14:paraId="199863B1" w14:textId="77777777" w:rsidR="00A168F0" w:rsidRDefault="00A168F0" w:rsidP="0570AC43">
      <w:pPr>
        <w:spacing w:line="276" w:lineRule="auto"/>
        <w:rPr>
          <w:rFonts w:ascii="Garamond" w:eastAsia="Garamond" w:hAnsi="Garamond" w:cs="Garamond"/>
        </w:rPr>
      </w:pPr>
    </w:p>
    <w:p w14:paraId="3E9112DD" w14:textId="20EE309E" w:rsidR="002F379E" w:rsidRPr="002F379E" w:rsidRDefault="002F379E" w:rsidP="002F379E">
      <w:pPr>
        <w:spacing w:line="276" w:lineRule="auto"/>
        <w:rPr>
          <w:rFonts w:ascii="Garamond" w:eastAsia="Garamond" w:hAnsi="Garamond" w:cs="Garamond"/>
        </w:rPr>
      </w:pPr>
      <w:r w:rsidRPr="002F379E">
        <w:rPr>
          <w:rFonts w:ascii="Garamond" w:eastAsia="Garamond" w:hAnsi="Garamond" w:cs="Garamond"/>
          <w:b/>
          <w:bCs/>
        </w:rPr>
        <w:t>Abstract: </w:t>
      </w:r>
      <w:r w:rsidRPr="002F379E">
        <w:rPr>
          <w:rFonts w:ascii="Garamond" w:eastAsia="Garamond" w:hAnsi="Garamond" w:cs="Garamond"/>
        </w:rPr>
        <w:t>This essay “goes public” with Christina Rossetti’s private reading of “The Woodspurge,” by Dante Gabriel Rossetti, an interpretation briefly, unobtrusively made public at the time of his death, then literally buried, only to be resurrected and made public again here. </w:t>
      </w:r>
    </w:p>
    <w:p w14:paraId="5E8D874B" w14:textId="77777777" w:rsidR="002F379E" w:rsidRPr="002F379E" w:rsidRDefault="002F379E" w:rsidP="002F379E">
      <w:pPr>
        <w:spacing w:line="276" w:lineRule="auto"/>
        <w:ind w:firstLine="720"/>
        <w:rPr>
          <w:rFonts w:ascii="Garamond" w:eastAsia="Garamond" w:hAnsi="Garamond" w:cs="Garamond"/>
        </w:rPr>
      </w:pPr>
      <w:r w:rsidRPr="002F379E">
        <w:rPr>
          <w:rFonts w:ascii="Garamond" w:eastAsia="Garamond" w:hAnsi="Garamond" w:cs="Garamond"/>
        </w:rPr>
        <w:t>Before the funeral, Christina Rossetti gathered a bunch of flowers, including woodspurge and forget-me-nots, which her mother dutifully placed in the grave. This floral text constitutes both a memorial to and an interpretation of the literary text to which it alludes. When the grave was closed, however, the interpretation was lost, preserved only in a diary entry. Although extracts of the diary were later published, the full significance of this detail went unremarked. </w:t>
      </w:r>
    </w:p>
    <w:p w14:paraId="768C2E5F" w14:textId="77777777" w:rsidR="002F379E" w:rsidRPr="002F379E" w:rsidRDefault="002F379E" w:rsidP="002F379E">
      <w:pPr>
        <w:spacing w:line="276" w:lineRule="auto"/>
        <w:ind w:firstLine="720"/>
        <w:rPr>
          <w:rFonts w:ascii="Garamond" w:eastAsia="Garamond" w:hAnsi="Garamond" w:cs="Garamond"/>
        </w:rPr>
      </w:pPr>
      <w:r w:rsidRPr="002F379E">
        <w:rPr>
          <w:rFonts w:ascii="Garamond" w:eastAsia="Garamond" w:hAnsi="Garamond" w:cs="Garamond"/>
        </w:rPr>
        <w:t xml:space="preserve">To understand the meaning that Christina Rossetti attached to this floral text, one must understand her emblematic view of nature, exemplified in botanical descriptions featured in her works of devotional prose. In </w:t>
      </w:r>
      <w:r w:rsidRPr="002F379E">
        <w:rPr>
          <w:rFonts w:ascii="Garamond" w:eastAsia="Garamond" w:hAnsi="Garamond" w:cs="Garamond"/>
          <w:i/>
          <w:iCs/>
        </w:rPr>
        <w:t>Called to Be Saints</w:t>
      </w:r>
      <w:r w:rsidRPr="002F379E">
        <w:rPr>
          <w:rFonts w:ascii="Garamond" w:eastAsia="Garamond" w:hAnsi="Garamond" w:cs="Garamond"/>
        </w:rPr>
        <w:t>, the description of yellow flag, or iris, typifies her emblematic method, emphasizing the significance of the number three to both the plant and the saint it represents. The same number is stressed in “The Woodspurge,” whose flower is said to consist of “three cups in one” and “a cup of three.” </w:t>
      </w:r>
    </w:p>
    <w:p w14:paraId="7ADBE274" w14:textId="77777777" w:rsidR="002F379E" w:rsidRPr="002F379E" w:rsidRDefault="002F379E" w:rsidP="002F379E">
      <w:pPr>
        <w:spacing w:line="276" w:lineRule="auto"/>
        <w:ind w:firstLine="720"/>
        <w:rPr>
          <w:rFonts w:ascii="Garamond" w:eastAsia="Garamond" w:hAnsi="Garamond" w:cs="Garamond"/>
        </w:rPr>
      </w:pPr>
      <w:r w:rsidRPr="002F379E">
        <w:rPr>
          <w:rFonts w:ascii="Garamond" w:eastAsia="Garamond" w:hAnsi="Garamond" w:cs="Garamond"/>
        </w:rPr>
        <w:t xml:space="preserve">In another devotional work, </w:t>
      </w:r>
      <w:r w:rsidRPr="002F379E">
        <w:rPr>
          <w:rFonts w:ascii="Garamond" w:eastAsia="Garamond" w:hAnsi="Garamond" w:cs="Garamond"/>
          <w:i/>
          <w:iCs/>
        </w:rPr>
        <w:t>Time Flies</w:t>
      </w:r>
      <w:r w:rsidRPr="002F379E">
        <w:rPr>
          <w:rFonts w:ascii="Garamond" w:eastAsia="Garamond" w:hAnsi="Garamond" w:cs="Garamond"/>
        </w:rPr>
        <w:t xml:space="preserve">, Christina Rossetti comments extensively on the significance of forget-me-nots, but she left no similar comment on woodspurge. In </w:t>
      </w:r>
      <w:r w:rsidRPr="002F379E">
        <w:rPr>
          <w:rFonts w:ascii="Garamond" w:eastAsia="Garamond" w:hAnsi="Garamond" w:cs="Garamond"/>
          <w:i/>
          <w:iCs/>
        </w:rPr>
        <w:t>Called to Be Saints</w:t>
      </w:r>
      <w:r w:rsidRPr="002F379E">
        <w:rPr>
          <w:rFonts w:ascii="Garamond" w:eastAsia="Garamond" w:hAnsi="Garamond" w:cs="Garamond"/>
        </w:rPr>
        <w:t>, however, her meticulous, botanically accurate description of wood sorrel, a traditional emblem of the Trinity, plainly indicates that she beheld in “The Woodspurge” the emblem of her own Christian faith. </w:t>
      </w:r>
    </w:p>
    <w:p w14:paraId="608B6437" w14:textId="77777777" w:rsidR="002F379E" w:rsidRPr="002F379E" w:rsidRDefault="002F379E" w:rsidP="002F379E">
      <w:pPr>
        <w:spacing w:line="276" w:lineRule="auto"/>
        <w:ind w:firstLine="720"/>
        <w:rPr>
          <w:rFonts w:ascii="Garamond" w:eastAsia="Garamond" w:hAnsi="Garamond" w:cs="Garamond"/>
        </w:rPr>
      </w:pPr>
      <w:r w:rsidRPr="002F379E">
        <w:rPr>
          <w:rFonts w:ascii="Garamond" w:eastAsia="Garamond" w:hAnsi="Garamond" w:cs="Garamond"/>
        </w:rPr>
        <w:t>To Christina Rossetti, forget-me-nots represented love, both human and divine, together with memory. Woodspurge represented the poem of the same name, its author, and the Trinity. The flowers placed in the grave exhorted her brother to remember the lesson of his poem, even if it were only an echo of the faith in which he was reared. This reading diverges from some fifty years’ critical consensus on “The Woodspurge” and affirms more recent, more hopeful appraisals of the Rossetti family’s efforts to memorialize the poet, thereby (re)admitting the poet’s sister into the critical conversation concerning the poem. </w:t>
      </w:r>
    </w:p>
    <w:p w14:paraId="5E90775B" w14:textId="77777777" w:rsidR="002F379E" w:rsidRPr="002F379E" w:rsidRDefault="002F379E" w:rsidP="002F379E">
      <w:pPr>
        <w:spacing w:line="276" w:lineRule="auto"/>
        <w:rPr>
          <w:rFonts w:ascii="Garamond" w:eastAsia="Garamond" w:hAnsi="Garamond" w:cs="Garamond"/>
          <w:b/>
          <w:bCs/>
        </w:rPr>
      </w:pPr>
      <w:r w:rsidRPr="002F379E">
        <w:rPr>
          <w:rFonts w:ascii="Garamond" w:eastAsia="Garamond" w:hAnsi="Garamond" w:cs="Garamond"/>
          <w:b/>
          <w:bCs/>
        </w:rPr>
        <w:t> </w:t>
      </w:r>
    </w:p>
    <w:p w14:paraId="673FD50B" w14:textId="77777777" w:rsidR="002F379E" w:rsidRPr="002F379E" w:rsidRDefault="002F379E" w:rsidP="002F379E">
      <w:pPr>
        <w:spacing w:line="276" w:lineRule="auto"/>
        <w:rPr>
          <w:rFonts w:ascii="Garamond" w:eastAsia="Garamond" w:hAnsi="Garamond" w:cs="Garamond"/>
          <w:b/>
          <w:bCs/>
        </w:rPr>
      </w:pPr>
      <w:r w:rsidRPr="002F379E">
        <w:rPr>
          <w:rFonts w:ascii="Garamond" w:eastAsia="Garamond" w:hAnsi="Garamond" w:cs="Garamond"/>
          <w:b/>
          <w:bCs/>
        </w:rPr>
        <w:t>Keywords: </w:t>
      </w:r>
    </w:p>
    <w:p w14:paraId="16DCF1EC" w14:textId="77777777" w:rsidR="002F379E" w:rsidRPr="002F379E" w:rsidRDefault="002F379E" w:rsidP="002F379E">
      <w:pPr>
        <w:spacing w:line="276" w:lineRule="auto"/>
        <w:rPr>
          <w:rFonts w:ascii="Garamond" w:eastAsia="Garamond" w:hAnsi="Garamond" w:cs="Garamond"/>
        </w:rPr>
      </w:pPr>
      <w:r w:rsidRPr="002F379E">
        <w:rPr>
          <w:rFonts w:ascii="Garamond" w:eastAsia="Garamond" w:hAnsi="Garamond" w:cs="Garamond"/>
        </w:rPr>
        <w:t>analogical, analogy, archetypal, archetype, botanical, devotional, ecotheological, emblem, floral, flower, grace, kenosis, kenotic, latent, manifestation, memorial, memorialize, memory, privacy, private, public, publicity, spurge, Tractarianism, Trinitarian, Trinity, type </w:t>
      </w:r>
    </w:p>
    <w:p w14:paraId="1F772C8D" w14:textId="70F3557C" w:rsidR="47C3A08F" w:rsidRDefault="47C3A08F" w:rsidP="0570AC43">
      <w:pPr>
        <w:spacing w:line="276" w:lineRule="auto"/>
        <w:rPr>
          <w:rFonts w:ascii="Garamond" w:eastAsia="Garamond" w:hAnsi="Garamond" w:cs="Garamond"/>
        </w:rPr>
      </w:pPr>
    </w:p>
    <w:p w14:paraId="02BFFBAE" w14:textId="7837F312" w:rsidR="47C3A08F" w:rsidRDefault="47C3A08F" w:rsidP="0570AC43">
      <w:pPr>
        <w:spacing w:line="276" w:lineRule="auto"/>
        <w:rPr>
          <w:rFonts w:ascii="Garamond" w:eastAsia="Garamond" w:hAnsi="Garamond" w:cs="Garamond"/>
        </w:rPr>
      </w:pPr>
    </w:p>
    <w:p w14:paraId="5F301E02" w14:textId="77777777" w:rsidR="00101E0A" w:rsidRPr="00D53FEE" w:rsidRDefault="00101E0A" w:rsidP="00101E0A">
      <w:pPr>
        <w:spacing w:line="276" w:lineRule="auto"/>
        <w:rPr>
          <w:rFonts w:ascii="Garamond" w:hAnsi="Garamond"/>
        </w:rPr>
      </w:pPr>
      <w:r w:rsidRPr="00485E27">
        <w:rPr>
          <w:rFonts w:ascii="Garamond" w:hAnsi="Garamond"/>
          <w:b/>
          <w:bCs/>
          <w:sz w:val="28"/>
          <w:szCs w:val="28"/>
        </w:rPr>
        <w:t xml:space="preserve">Resistance, Conservatism, and Hester Prynne: Questions of Sovereignty in </w:t>
      </w:r>
      <w:r w:rsidRPr="00485E27">
        <w:rPr>
          <w:rFonts w:ascii="Garamond" w:hAnsi="Garamond"/>
          <w:b/>
          <w:bCs/>
          <w:i/>
          <w:iCs/>
          <w:sz w:val="28"/>
          <w:szCs w:val="28"/>
        </w:rPr>
        <w:t>The Scarlet Letter</w:t>
      </w:r>
      <w:r w:rsidRPr="00485E27">
        <w:rPr>
          <w:rFonts w:ascii="Garamond" w:hAnsi="Garamond"/>
          <w:b/>
          <w:bCs/>
          <w:sz w:val="28"/>
          <w:szCs w:val="28"/>
        </w:rPr>
        <w:t> </w:t>
      </w:r>
    </w:p>
    <w:p w14:paraId="53FC1781" w14:textId="77777777" w:rsidR="00101E0A" w:rsidRPr="00D53FEE" w:rsidRDefault="00101E0A" w:rsidP="00101E0A">
      <w:pPr>
        <w:spacing w:line="276" w:lineRule="auto"/>
        <w:rPr>
          <w:rFonts w:ascii="Garamond" w:hAnsi="Garamond"/>
        </w:rPr>
      </w:pPr>
      <w:r>
        <w:rPr>
          <w:rFonts w:ascii="Garamond" w:hAnsi="Garamond"/>
        </w:rPr>
        <w:t>Sara Subotić</w:t>
      </w:r>
    </w:p>
    <w:p w14:paraId="091E9578" w14:textId="77777777" w:rsidR="00101E0A" w:rsidRPr="00D53FEE" w:rsidRDefault="00101E0A" w:rsidP="00101E0A">
      <w:pPr>
        <w:spacing w:line="276" w:lineRule="auto"/>
        <w:rPr>
          <w:rFonts w:ascii="Garamond" w:hAnsi="Garamond"/>
          <w:b/>
          <w:bCs/>
        </w:rPr>
      </w:pPr>
    </w:p>
    <w:p w14:paraId="7558DBC1" w14:textId="77777777" w:rsidR="00101E0A" w:rsidRDefault="00101E0A" w:rsidP="00101E0A">
      <w:pPr>
        <w:spacing w:line="276" w:lineRule="auto"/>
        <w:rPr>
          <w:rFonts w:ascii="Garamond" w:eastAsia="Garamond" w:hAnsi="Garamond" w:cs="Garamond"/>
        </w:rPr>
      </w:pPr>
      <w:r w:rsidRPr="0570AC43">
        <w:rPr>
          <w:rFonts w:ascii="Garamond" w:eastAsia="Garamond" w:hAnsi="Garamond" w:cs="Garamond"/>
          <w:b/>
          <w:bCs/>
        </w:rPr>
        <w:t>Abstract:</w:t>
      </w:r>
      <w:r w:rsidRPr="0570AC43">
        <w:rPr>
          <w:rFonts w:ascii="Garamond" w:eastAsia="Garamond" w:hAnsi="Garamond" w:cs="Garamond"/>
        </w:rPr>
        <w:t xml:space="preserve"> </w:t>
      </w:r>
      <w:r w:rsidRPr="00485E27">
        <w:rPr>
          <w:rFonts w:ascii="Garamond" w:eastAsia="Garamond" w:hAnsi="Garamond" w:cs="Garamond"/>
        </w:rPr>
        <w:t xml:space="preserve">This paper examines the concerns with sovereignty in </w:t>
      </w:r>
      <w:r w:rsidRPr="00485E27">
        <w:rPr>
          <w:rFonts w:ascii="Garamond" w:eastAsia="Garamond" w:hAnsi="Garamond" w:cs="Garamond"/>
          <w:i/>
          <w:iCs/>
        </w:rPr>
        <w:t>The Scarlet Letter</w:t>
      </w:r>
      <w:r w:rsidRPr="00485E27">
        <w:rPr>
          <w:rFonts w:ascii="Garamond" w:eastAsia="Garamond" w:hAnsi="Garamond" w:cs="Garamond"/>
        </w:rPr>
        <w:t xml:space="preserve"> through the character of Hester Prynne and the public nature of her punishment: the scarlet letter “A.” Taking the political sentiments of Thoreau and Burke—resistance and conservative reform, respectively—the author argues that Hawthorne’s portrayal of Hester introduces Thoreauvian revolution only to subject it to Burkean reform. Hester’s spirit and thoughts on the subjugation of women by patriarchy suggest the desire to revolutionize and overthrow the institution. Hester’s turn, then, to slow political reform by the end of the novel shows Hawthorne’s commitment to gradual institutional reform under the guise of political stability. </w:t>
      </w:r>
      <w:r w:rsidRPr="00485E27">
        <w:rPr>
          <w:rFonts w:ascii="Garamond" w:eastAsia="Garamond" w:hAnsi="Garamond" w:cs="Garamond"/>
          <w:i/>
          <w:iCs/>
        </w:rPr>
        <w:t xml:space="preserve">The Scarlet Letter </w:t>
      </w:r>
      <w:r w:rsidRPr="00485E27">
        <w:rPr>
          <w:rFonts w:ascii="Garamond" w:eastAsia="Garamond" w:hAnsi="Garamond" w:cs="Garamond"/>
        </w:rPr>
        <w:t>suggests that revolution is unstable, whereas gradual political reform is not. What this paper argues, however, is that Hawthorne is not concerned with political stability but with power and political hierarchy. Hawthorne’s concern with the hierarchy of civil and legal jurisdiction—with the status of sovereignty—is a failure to recognize the instability of conservative reform. What Hawthorne seeks to preserve is the letter of the law—the US Constitution—as opposed to the political will of the people, wherein sovereignty resides. This reading is motivated by the transatlantic political circumstances (namely, the English Civil War) within the time period of the novel and the political circumstances (the Compromise of 1850 and discourse surrounding the question of an American Civil War) during the time of Hawthorne’s composition of the novel. </w:t>
      </w:r>
    </w:p>
    <w:p w14:paraId="6CF38009" w14:textId="77777777" w:rsidR="00101E0A" w:rsidRPr="00485E27" w:rsidRDefault="00101E0A" w:rsidP="00101E0A">
      <w:pPr>
        <w:spacing w:line="276" w:lineRule="auto"/>
        <w:rPr>
          <w:rFonts w:ascii="Garamond" w:eastAsia="Garamond" w:hAnsi="Garamond" w:cs="Garamond"/>
        </w:rPr>
      </w:pPr>
    </w:p>
    <w:p w14:paraId="5483BBF3" w14:textId="77777777" w:rsidR="00101E0A" w:rsidRDefault="00101E0A" w:rsidP="00101E0A">
      <w:pPr>
        <w:spacing w:line="276" w:lineRule="auto"/>
        <w:rPr>
          <w:rFonts w:ascii="Garamond" w:eastAsia="Garamond" w:hAnsi="Garamond" w:cs="Garamond"/>
        </w:rPr>
      </w:pPr>
      <w:r w:rsidRPr="00485E27">
        <w:rPr>
          <w:rFonts w:ascii="Garamond" w:eastAsia="Garamond" w:hAnsi="Garamond" w:cs="Garamond"/>
          <w:b/>
          <w:bCs/>
        </w:rPr>
        <w:t>Keywords:</w:t>
      </w:r>
      <w:r w:rsidRPr="00485E27">
        <w:rPr>
          <w:rFonts w:ascii="Garamond" w:eastAsia="Garamond" w:hAnsi="Garamond" w:cs="Garamond"/>
        </w:rPr>
        <w:t xml:space="preserve"> democracy, political conservatism, political ideologies, revolution, sovereignty </w:t>
      </w:r>
    </w:p>
    <w:p w14:paraId="1ABBC5CB" w14:textId="77777777" w:rsidR="00101E0A" w:rsidRDefault="00101E0A" w:rsidP="00101E0A">
      <w:pPr>
        <w:spacing w:line="276" w:lineRule="auto"/>
        <w:rPr>
          <w:rFonts w:ascii="Garamond" w:eastAsia="Times New Roman" w:hAnsi="Garamond" w:cs="Times New Roman"/>
        </w:rPr>
      </w:pPr>
    </w:p>
    <w:p w14:paraId="309FBFE2" w14:textId="77777777" w:rsidR="00101E0A" w:rsidRDefault="00101E0A" w:rsidP="00101E0A">
      <w:pPr>
        <w:spacing w:line="276" w:lineRule="auto"/>
        <w:rPr>
          <w:rFonts w:ascii="Garamond" w:hAnsi="Garamond"/>
          <w:b/>
          <w:bCs/>
          <w:sz w:val="28"/>
          <w:szCs w:val="28"/>
        </w:rPr>
      </w:pPr>
      <w:r>
        <w:rPr>
          <w:rFonts w:ascii="Garamond" w:hAnsi="Garamond"/>
          <w:b/>
          <w:bCs/>
          <w:sz w:val="28"/>
          <w:szCs w:val="28"/>
        </w:rPr>
        <w:t>The Ecstasy of Reproduction</w:t>
      </w:r>
    </w:p>
    <w:p w14:paraId="7B911159" w14:textId="77777777" w:rsidR="00101E0A" w:rsidRPr="00D53FEE" w:rsidRDefault="00101E0A" w:rsidP="00101E0A">
      <w:pPr>
        <w:spacing w:line="276" w:lineRule="auto"/>
        <w:rPr>
          <w:rFonts w:ascii="Garamond" w:hAnsi="Garamond"/>
        </w:rPr>
      </w:pPr>
    </w:p>
    <w:p w14:paraId="075371C8" w14:textId="77777777" w:rsidR="00101E0A" w:rsidRDefault="00101E0A" w:rsidP="00101E0A">
      <w:pPr>
        <w:spacing w:line="276" w:lineRule="auto"/>
        <w:rPr>
          <w:rFonts w:ascii="Garamond" w:hAnsi="Garamond"/>
        </w:rPr>
      </w:pPr>
      <w:r>
        <w:rPr>
          <w:rFonts w:ascii="Garamond" w:hAnsi="Garamond"/>
        </w:rPr>
        <w:t>Alberto Castelli</w:t>
      </w:r>
    </w:p>
    <w:p w14:paraId="2740AF18" w14:textId="77777777" w:rsidR="00101E0A" w:rsidRPr="00D53FEE" w:rsidRDefault="00101E0A" w:rsidP="00101E0A">
      <w:pPr>
        <w:spacing w:line="276" w:lineRule="auto"/>
        <w:rPr>
          <w:rFonts w:ascii="Garamond" w:hAnsi="Garamond"/>
          <w:b/>
          <w:bCs/>
        </w:rPr>
      </w:pPr>
    </w:p>
    <w:p w14:paraId="7789F05A" w14:textId="77777777" w:rsidR="00101E0A" w:rsidRPr="00D3356C" w:rsidRDefault="00101E0A" w:rsidP="00101E0A">
      <w:pPr>
        <w:spacing w:line="276" w:lineRule="auto"/>
        <w:rPr>
          <w:rFonts w:ascii="Garamond" w:eastAsia="Garamond" w:hAnsi="Garamond" w:cs="Garamond"/>
        </w:rPr>
      </w:pPr>
      <w:r w:rsidRPr="0570AC43">
        <w:rPr>
          <w:rFonts w:ascii="Garamond" w:eastAsia="Garamond" w:hAnsi="Garamond" w:cs="Garamond"/>
          <w:b/>
          <w:bCs/>
        </w:rPr>
        <w:t>Abstract:</w:t>
      </w:r>
      <w:r w:rsidRPr="0570AC43">
        <w:rPr>
          <w:rFonts w:ascii="Garamond" w:eastAsia="Garamond" w:hAnsi="Garamond" w:cs="Garamond"/>
        </w:rPr>
        <w:t xml:space="preserve"> </w:t>
      </w:r>
      <w:r w:rsidRPr="00D3356C">
        <w:rPr>
          <w:rFonts w:ascii="Garamond" w:eastAsia="Garamond" w:hAnsi="Garamond" w:cs="Garamond"/>
        </w:rPr>
        <w:t>This manuscript engages with some expanded aspects of postmodernity. Objects, identities, and culture must undergo a process of commodification far beyond the sphere of production to the degree that one can no longer distinguish between manufacture and creation. I focus on the relationship that exists between Roland Barthes’s idea of the “death of the author” and the concept of reproducibility, which is a fundamental feature of the postmodern discourse. If everything has been said, done, written, painted, or sung before, it is hard to think that originality in any form is still possible. Thus, the author’s and the culture’s overall demise is due to a historical imaginative deadlock.    </w:t>
      </w:r>
    </w:p>
    <w:p w14:paraId="01D69539" w14:textId="77777777" w:rsidR="00101E0A" w:rsidRPr="00D3356C" w:rsidRDefault="00101E0A" w:rsidP="00101E0A">
      <w:pPr>
        <w:spacing w:line="276" w:lineRule="auto"/>
        <w:rPr>
          <w:rFonts w:ascii="Garamond" w:eastAsia="Garamond" w:hAnsi="Garamond" w:cs="Garamond"/>
        </w:rPr>
      </w:pPr>
      <w:r w:rsidRPr="00D3356C">
        <w:rPr>
          <w:rFonts w:ascii="Garamond" w:eastAsia="Garamond" w:hAnsi="Garamond" w:cs="Garamond"/>
          <w:b/>
          <w:bCs/>
        </w:rPr>
        <w:t>Keywords:</w:t>
      </w:r>
      <w:r w:rsidRPr="00D3356C">
        <w:rPr>
          <w:rFonts w:ascii="Garamond" w:eastAsia="Garamond" w:hAnsi="Garamond" w:cs="Garamond"/>
        </w:rPr>
        <w:t> </w:t>
      </w:r>
    </w:p>
    <w:p w14:paraId="20276E2C" w14:textId="77777777" w:rsidR="00101E0A" w:rsidRPr="00D3356C" w:rsidRDefault="00101E0A" w:rsidP="00101E0A">
      <w:pPr>
        <w:spacing w:line="276" w:lineRule="auto"/>
        <w:rPr>
          <w:rFonts w:ascii="Garamond" w:eastAsia="Garamond" w:hAnsi="Garamond" w:cs="Garamond"/>
        </w:rPr>
      </w:pPr>
      <w:r w:rsidRPr="00D3356C">
        <w:rPr>
          <w:rFonts w:ascii="Garamond" w:eastAsia="Garamond" w:hAnsi="Garamond" w:cs="Garamond"/>
          <w:lang w:val="en-GB"/>
        </w:rPr>
        <w:t>Culture, Fredric Jameson, Identity, Postmodernism, Reproduction</w:t>
      </w:r>
      <w:r w:rsidRPr="00D3356C">
        <w:rPr>
          <w:rFonts w:ascii="Garamond" w:eastAsia="Garamond" w:hAnsi="Garamond" w:cs="Garamond"/>
        </w:rPr>
        <w:t> </w:t>
      </w:r>
    </w:p>
    <w:p w14:paraId="0BC4DF6B" w14:textId="77777777" w:rsidR="00101E0A" w:rsidRDefault="00101E0A" w:rsidP="00101E0A">
      <w:pPr>
        <w:spacing w:line="276" w:lineRule="auto"/>
        <w:rPr>
          <w:rFonts w:ascii="Garamond" w:eastAsia="Garamond" w:hAnsi="Garamond" w:cs="Garamond"/>
        </w:rPr>
      </w:pPr>
    </w:p>
    <w:p w14:paraId="60900F46" w14:textId="77777777" w:rsidR="00101E0A" w:rsidRPr="00D53FEE" w:rsidRDefault="00101E0A" w:rsidP="00101E0A">
      <w:pPr>
        <w:spacing w:line="276" w:lineRule="auto"/>
        <w:rPr>
          <w:rFonts w:ascii="Garamond" w:hAnsi="Garamond"/>
        </w:rPr>
      </w:pPr>
      <w:r w:rsidRPr="00ED3986">
        <w:rPr>
          <w:rFonts w:ascii="Garamond" w:hAnsi="Garamond"/>
          <w:b/>
          <w:bCs/>
          <w:sz w:val="28"/>
          <w:szCs w:val="28"/>
        </w:rPr>
        <w:lastRenderedPageBreak/>
        <w:t xml:space="preserve">Writing Affect In/Through Body Parts: Reading the Aggressive Affectivity of Melancholia in Theresa Hak Kyung Cha’s </w:t>
      </w:r>
      <w:r w:rsidRPr="00ED3986">
        <w:rPr>
          <w:rFonts w:ascii="Garamond" w:hAnsi="Garamond"/>
          <w:b/>
          <w:bCs/>
          <w:i/>
          <w:iCs/>
          <w:sz w:val="28"/>
          <w:szCs w:val="28"/>
        </w:rPr>
        <w:t>Dictée</w:t>
      </w:r>
      <w:r w:rsidRPr="00ED3986">
        <w:rPr>
          <w:rFonts w:ascii="Garamond" w:hAnsi="Garamond"/>
          <w:b/>
          <w:bCs/>
          <w:sz w:val="28"/>
          <w:szCs w:val="28"/>
        </w:rPr>
        <w:t xml:space="preserve"> through the Anatomical Exhibit of Chang and Eng Bunker in the Mütter Museum </w:t>
      </w:r>
    </w:p>
    <w:p w14:paraId="11A6DF8D" w14:textId="77777777" w:rsidR="00101E0A" w:rsidRPr="00D53FEE" w:rsidRDefault="00101E0A" w:rsidP="00101E0A">
      <w:pPr>
        <w:spacing w:line="276" w:lineRule="auto"/>
        <w:rPr>
          <w:rFonts w:ascii="Garamond" w:hAnsi="Garamond"/>
        </w:rPr>
      </w:pPr>
      <w:r>
        <w:rPr>
          <w:rFonts w:ascii="Garamond" w:hAnsi="Garamond"/>
        </w:rPr>
        <w:t>Vivian Lei</w:t>
      </w:r>
    </w:p>
    <w:p w14:paraId="49DAE602" w14:textId="77777777" w:rsidR="00101E0A" w:rsidRPr="00D53FEE" w:rsidRDefault="00101E0A" w:rsidP="00101E0A">
      <w:pPr>
        <w:spacing w:line="276" w:lineRule="auto"/>
        <w:rPr>
          <w:rFonts w:ascii="Garamond" w:hAnsi="Garamond"/>
          <w:b/>
          <w:bCs/>
        </w:rPr>
      </w:pPr>
    </w:p>
    <w:p w14:paraId="6DB6C6FF" w14:textId="77777777" w:rsidR="00101E0A" w:rsidRDefault="00101E0A" w:rsidP="00101E0A">
      <w:pPr>
        <w:spacing w:line="276" w:lineRule="auto"/>
        <w:rPr>
          <w:rFonts w:ascii="Garamond" w:eastAsia="Garamond" w:hAnsi="Garamond" w:cs="Garamond"/>
        </w:rPr>
      </w:pPr>
      <w:r w:rsidRPr="0570AC43">
        <w:rPr>
          <w:rFonts w:ascii="Garamond" w:eastAsia="Garamond" w:hAnsi="Garamond" w:cs="Garamond"/>
          <w:b/>
          <w:bCs/>
        </w:rPr>
        <w:t>Abstract:</w:t>
      </w:r>
      <w:r w:rsidRPr="0570AC43">
        <w:rPr>
          <w:rFonts w:ascii="Garamond" w:eastAsia="Garamond" w:hAnsi="Garamond" w:cs="Garamond"/>
        </w:rPr>
        <w:t xml:space="preserve"> </w:t>
      </w:r>
      <w:r w:rsidRPr="00ED3986">
        <w:rPr>
          <w:rFonts w:ascii="Garamond" w:eastAsia="Garamond" w:hAnsi="Garamond" w:cs="Garamond"/>
        </w:rPr>
        <w:t xml:space="preserve">This paper offers a comparative analysis of Theresa Hak Kyung Cha’s 1982 book </w:t>
      </w:r>
      <w:r w:rsidRPr="00ED3986">
        <w:rPr>
          <w:rFonts w:ascii="Garamond" w:eastAsia="Garamond" w:hAnsi="Garamond" w:cs="Garamond"/>
          <w:i/>
          <w:iCs/>
        </w:rPr>
        <w:t xml:space="preserve">Dictée </w:t>
      </w:r>
      <w:r w:rsidRPr="00ED3986">
        <w:rPr>
          <w:rFonts w:ascii="Garamond" w:eastAsia="Garamond" w:hAnsi="Garamond" w:cs="Garamond"/>
        </w:rPr>
        <w:t xml:space="preserve">and an anatomical exhibit at the Mütter Museum in Philadelphia featuring Chang and Eng Bunker, the conjoined “Siamese twins” who toured the United States in the early nineteenth century as circus performers. While scholarship has extensively examined </w:t>
      </w:r>
      <w:r w:rsidRPr="00ED3986">
        <w:rPr>
          <w:rFonts w:ascii="Garamond" w:eastAsia="Garamond" w:hAnsi="Garamond" w:cs="Garamond"/>
          <w:i/>
          <w:iCs/>
        </w:rPr>
        <w:t>Dictée</w:t>
      </w:r>
      <w:r w:rsidRPr="00ED3986">
        <w:rPr>
          <w:rFonts w:ascii="Garamond" w:eastAsia="Garamond" w:hAnsi="Garamond" w:cs="Garamond"/>
        </w:rPr>
        <w:t xml:space="preserve">’s archival methods and its construction of a translingual, hybrid Asian American identity, few have examined Cha’s engagement with anatomical discourse. By invoking anatomical language and imagery, </w:t>
      </w:r>
      <w:r w:rsidRPr="00ED3986">
        <w:rPr>
          <w:rFonts w:ascii="Garamond" w:eastAsia="Garamond" w:hAnsi="Garamond" w:cs="Garamond"/>
          <w:i/>
          <w:iCs/>
        </w:rPr>
        <w:t>Dictée</w:t>
      </w:r>
      <w:r w:rsidRPr="00ED3986">
        <w:rPr>
          <w:rFonts w:ascii="Garamond" w:eastAsia="Garamond" w:hAnsi="Garamond" w:cs="Garamond"/>
        </w:rPr>
        <w:t xml:space="preserve"> situates Asian American history within the framework of scientific racism while opening space for a theoretical exploration of race at nonsubjective levels of organ, fragment, and affect. Similarly, the Mütter exhibit frames the Bunker brothers’ bodies as anatomized, and though race is not explicitly defined biologically, it shapes the interpretation of their biographies and remains. I use the term melancholic to describe the affective presence of race in both </w:t>
      </w:r>
      <w:r w:rsidRPr="00ED3986">
        <w:rPr>
          <w:rFonts w:ascii="Garamond" w:eastAsia="Garamond" w:hAnsi="Garamond" w:cs="Garamond"/>
          <w:i/>
          <w:iCs/>
        </w:rPr>
        <w:t>Dictée</w:t>
      </w:r>
      <w:r w:rsidRPr="00ED3986">
        <w:rPr>
          <w:rFonts w:ascii="Garamond" w:eastAsia="Garamond" w:hAnsi="Garamond" w:cs="Garamond"/>
        </w:rPr>
        <w:t xml:space="preserve"> and the exhibit, but I argue that racial melancholia, when mediated through anatomical motifs, can also take on an aggressive dimension. Cha’s poetics fragments language, disrupting syntax as though dissecting its corporeal body, while the Bunker brothers, through the manipulation of the audience’s gaze, assert recognition for their transgression of normative categories of race, disability, and gender. Ultimately, I propose that anatomy can be transformed into a form of Asian American sociality, providing a framework to renegotiate the grounds of resistance and survival. </w:t>
      </w:r>
    </w:p>
    <w:p w14:paraId="17FD1089" w14:textId="77777777" w:rsidR="00101E0A" w:rsidRDefault="00101E0A" w:rsidP="00101E0A">
      <w:pPr>
        <w:spacing w:line="276" w:lineRule="auto"/>
        <w:rPr>
          <w:rFonts w:ascii="Garamond" w:eastAsia="Garamond" w:hAnsi="Garamond" w:cs="Garamond"/>
        </w:rPr>
      </w:pPr>
    </w:p>
    <w:p w14:paraId="627020D3" w14:textId="77777777" w:rsidR="00101E0A" w:rsidRPr="00ED3986" w:rsidRDefault="00101E0A" w:rsidP="00101E0A">
      <w:pPr>
        <w:spacing w:line="276" w:lineRule="auto"/>
        <w:rPr>
          <w:rFonts w:ascii="Garamond" w:eastAsia="Garamond" w:hAnsi="Garamond" w:cs="Garamond"/>
        </w:rPr>
      </w:pPr>
      <w:r w:rsidRPr="00ED3986">
        <w:rPr>
          <w:rFonts w:ascii="Garamond" w:eastAsia="Garamond" w:hAnsi="Garamond" w:cs="Garamond"/>
          <w:b/>
          <w:bCs/>
          <w:lang w:val="en"/>
        </w:rPr>
        <w:t>Keywords</w:t>
      </w:r>
      <w:r w:rsidRPr="00ED3986">
        <w:rPr>
          <w:rFonts w:ascii="Garamond" w:eastAsia="Garamond" w:hAnsi="Garamond" w:cs="Garamond"/>
        </w:rPr>
        <w:t> </w:t>
      </w:r>
    </w:p>
    <w:p w14:paraId="02A81C51" w14:textId="77777777" w:rsidR="00101E0A" w:rsidRPr="00ED3986" w:rsidRDefault="00101E0A" w:rsidP="00101E0A">
      <w:pPr>
        <w:spacing w:line="276" w:lineRule="auto"/>
        <w:rPr>
          <w:rFonts w:ascii="Garamond" w:eastAsia="Garamond" w:hAnsi="Garamond" w:cs="Garamond"/>
        </w:rPr>
      </w:pPr>
      <w:r w:rsidRPr="00ED3986">
        <w:rPr>
          <w:rFonts w:ascii="Garamond" w:eastAsia="Garamond" w:hAnsi="Garamond" w:cs="Garamond"/>
        </w:rPr>
        <w:t xml:space="preserve">Asian American literature, Theresa Hak Kyung Cha, </w:t>
      </w:r>
      <w:r w:rsidRPr="00ED3986">
        <w:rPr>
          <w:rFonts w:ascii="Garamond" w:eastAsia="Garamond" w:hAnsi="Garamond" w:cs="Garamond"/>
          <w:i/>
          <w:iCs/>
        </w:rPr>
        <w:t>Dictée</w:t>
      </w:r>
      <w:r w:rsidRPr="00ED3986">
        <w:rPr>
          <w:rFonts w:ascii="Garamond" w:eastAsia="Garamond" w:hAnsi="Garamond" w:cs="Garamond"/>
        </w:rPr>
        <w:t>, racial melancholia, experimental poetics, medical humanities, affect theory  </w:t>
      </w:r>
    </w:p>
    <w:p w14:paraId="3AA4D51A" w14:textId="77777777" w:rsidR="00101E0A" w:rsidRDefault="00101E0A" w:rsidP="00101E0A">
      <w:pPr>
        <w:spacing w:line="276" w:lineRule="auto"/>
        <w:rPr>
          <w:rFonts w:ascii="Garamond" w:eastAsia="Garamond" w:hAnsi="Garamond" w:cs="Garamond"/>
        </w:rPr>
      </w:pPr>
    </w:p>
    <w:p w14:paraId="50724C32" w14:textId="77777777" w:rsidR="00101E0A" w:rsidRPr="00D53FEE" w:rsidRDefault="00101E0A" w:rsidP="00101E0A">
      <w:pPr>
        <w:spacing w:line="276" w:lineRule="auto"/>
        <w:rPr>
          <w:rFonts w:ascii="Garamond" w:hAnsi="Garamond"/>
        </w:rPr>
      </w:pPr>
      <w:r w:rsidRPr="00C138AD">
        <w:rPr>
          <w:rFonts w:ascii="Garamond" w:hAnsi="Garamond"/>
          <w:b/>
          <w:bCs/>
          <w:sz w:val="28"/>
          <w:szCs w:val="28"/>
        </w:rPr>
        <w:t xml:space="preserve">From Public Figure to Domesticized Man: Migrancy, Transculturality, and Tendai Huchu’s Magistrate in </w:t>
      </w:r>
      <w:r w:rsidRPr="00C138AD">
        <w:rPr>
          <w:rFonts w:ascii="Garamond" w:hAnsi="Garamond"/>
          <w:b/>
          <w:bCs/>
          <w:i/>
          <w:iCs/>
          <w:sz w:val="28"/>
          <w:szCs w:val="28"/>
        </w:rPr>
        <w:t>The Maestro, the Magistrate &amp; the Mathematician</w:t>
      </w:r>
    </w:p>
    <w:p w14:paraId="4BE1EDEF" w14:textId="77777777" w:rsidR="00101E0A" w:rsidRPr="00D53FEE" w:rsidRDefault="00101E0A" w:rsidP="00101E0A">
      <w:pPr>
        <w:spacing w:line="276" w:lineRule="auto"/>
        <w:rPr>
          <w:rFonts w:ascii="Garamond" w:hAnsi="Garamond"/>
        </w:rPr>
      </w:pPr>
      <w:r>
        <w:rPr>
          <w:rFonts w:ascii="Garamond" w:hAnsi="Garamond"/>
        </w:rPr>
        <w:t>Gideon Uzoma Umerzurike</w:t>
      </w:r>
    </w:p>
    <w:p w14:paraId="3571C683" w14:textId="77777777" w:rsidR="00101E0A" w:rsidRPr="00D53FEE" w:rsidRDefault="00101E0A" w:rsidP="00101E0A">
      <w:pPr>
        <w:spacing w:line="276" w:lineRule="auto"/>
        <w:rPr>
          <w:rFonts w:ascii="Garamond" w:hAnsi="Garamond"/>
          <w:b/>
          <w:bCs/>
        </w:rPr>
      </w:pPr>
    </w:p>
    <w:p w14:paraId="68D95D83" w14:textId="77777777" w:rsidR="00101E0A" w:rsidRPr="00C138AD" w:rsidRDefault="00101E0A" w:rsidP="00101E0A">
      <w:pPr>
        <w:spacing w:line="276" w:lineRule="auto"/>
        <w:rPr>
          <w:rFonts w:ascii="Garamond" w:eastAsia="Garamond" w:hAnsi="Garamond" w:cs="Garamond"/>
        </w:rPr>
      </w:pPr>
      <w:r w:rsidRPr="0570AC43">
        <w:rPr>
          <w:rFonts w:ascii="Garamond" w:eastAsia="Garamond" w:hAnsi="Garamond" w:cs="Garamond"/>
          <w:b/>
          <w:bCs/>
        </w:rPr>
        <w:t>Abstract:</w:t>
      </w:r>
      <w:r w:rsidRPr="0570AC43">
        <w:rPr>
          <w:rFonts w:ascii="Garamond" w:eastAsia="Garamond" w:hAnsi="Garamond" w:cs="Garamond"/>
        </w:rPr>
        <w:t xml:space="preserve"> </w:t>
      </w:r>
      <w:r w:rsidRPr="00C138AD">
        <w:rPr>
          <w:rFonts w:ascii="Garamond" w:eastAsia="Garamond" w:hAnsi="Garamond" w:cs="Garamond"/>
        </w:rPr>
        <w:t xml:space="preserve">This paper examines Tendai Huchu’s </w:t>
      </w:r>
      <w:r w:rsidRPr="00C138AD">
        <w:rPr>
          <w:rFonts w:ascii="Garamond" w:eastAsia="Garamond" w:hAnsi="Garamond" w:cs="Garamond"/>
          <w:i/>
          <w:iCs/>
        </w:rPr>
        <w:t>The Maestro, the Magistrate &amp; the Mathematician</w:t>
      </w:r>
      <w:r w:rsidRPr="00C138AD">
        <w:rPr>
          <w:rFonts w:ascii="Garamond" w:eastAsia="Garamond" w:hAnsi="Garamond" w:cs="Garamond"/>
        </w:rPr>
        <w:t xml:space="preserve"> with a focus on its portrayal of how migration reshapes African families living in the West. The paper argues that the text interrogates the vision of transculturality as a model of mutually beneficial cultural exchange—a vision held by transcultural theorists such as Wolfgang Welsch. The novel punctures transculturality’s claims of unbiased reception and mutual cultural exchange through three identifiable nexuses: the Magistrate’s displacement and family restructuring, his precarious employment situation in Edinburgh, and his teenage daughter’s relationship and unexpected pregnancy. Reading these three threads together, the paper suggests that the British cultural space of the novel fosters the assimilation of African migrants into Western modernity rather than the emergence of a blended neoculture. With African migrants, like others in the Black Atlantic, systemically positioned to occupy what Nelson Maldonado-Torres calls “zones of not being human </w:t>
      </w:r>
      <w:r w:rsidRPr="00C138AD">
        <w:rPr>
          <w:rFonts w:ascii="Garamond" w:eastAsia="Garamond" w:hAnsi="Garamond" w:cs="Garamond"/>
        </w:rPr>
        <w:lastRenderedPageBreak/>
        <w:t>enough,” their assimilation into Western modernity reproduces systemic marginalization, maintaining the asymmetrical power relations between the West and its former African colonies. While transcultural theory remains useful in conceptualizing a world in which diverse cultures intermingle without limitation, the twenty-first-century British space of Edinburgh, portrayed in Huchu’s novel, is not that world. Although the Magistrate’s turn to relational perspectives enables renewed intimacy with his wife and empathy with his daughter, Chenai, the fact that he has to drop his indigenous Shona lens to find peace and joy in Edinburgh underscores the assimilative underside of both migration and transculturality. Hence, to read Huchu’s Edinburgh as transcultural, rather than multicultural, is to acknowledge that transculturality reinforces Western coloniality of power over minority cultures. </w:t>
      </w:r>
    </w:p>
    <w:p w14:paraId="75E56731" w14:textId="77777777" w:rsidR="00101E0A" w:rsidRPr="00C138AD" w:rsidRDefault="00101E0A" w:rsidP="00101E0A">
      <w:pPr>
        <w:spacing w:line="276" w:lineRule="auto"/>
        <w:rPr>
          <w:rFonts w:ascii="Garamond" w:eastAsia="Garamond" w:hAnsi="Garamond" w:cs="Garamond"/>
        </w:rPr>
      </w:pPr>
      <w:r w:rsidRPr="00C138AD">
        <w:rPr>
          <w:rFonts w:ascii="Garamond" w:eastAsia="Garamond" w:hAnsi="Garamond" w:cs="Garamond"/>
        </w:rPr>
        <w:t> </w:t>
      </w:r>
    </w:p>
    <w:p w14:paraId="7CB4C59F" w14:textId="77777777" w:rsidR="00101E0A" w:rsidRPr="00C138AD" w:rsidRDefault="00101E0A" w:rsidP="00101E0A">
      <w:pPr>
        <w:spacing w:line="276" w:lineRule="auto"/>
        <w:rPr>
          <w:rFonts w:ascii="Garamond" w:eastAsia="Garamond" w:hAnsi="Garamond" w:cs="Garamond"/>
        </w:rPr>
      </w:pPr>
      <w:r w:rsidRPr="00C138AD">
        <w:rPr>
          <w:rFonts w:ascii="Garamond" w:eastAsia="Garamond" w:hAnsi="Garamond" w:cs="Garamond"/>
          <w:b/>
          <w:bCs/>
        </w:rPr>
        <w:t>Keywords:</w:t>
      </w:r>
      <w:r w:rsidRPr="00C138AD">
        <w:rPr>
          <w:rFonts w:ascii="Garamond" w:eastAsia="Garamond" w:hAnsi="Garamond" w:cs="Garamond"/>
        </w:rPr>
        <w:t> </w:t>
      </w:r>
    </w:p>
    <w:p w14:paraId="3E0E6A82" w14:textId="77777777" w:rsidR="00101E0A" w:rsidRPr="00C138AD" w:rsidRDefault="00101E0A" w:rsidP="00101E0A">
      <w:pPr>
        <w:spacing w:line="276" w:lineRule="auto"/>
        <w:rPr>
          <w:rFonts w:ascii="Garamond" w:eastAsia="Garamond" w:hAnsi="Garamond" w:cs="Garamond"/>
        </w:rPr>
      </w:pPr>
      <w:r w:rsidRPr="00C138AD">
        <w:rPr>
          <w:rFonts w:ascii="Garamond" w:eastAsia="Garamond" w:hAnsi="Garamond" w:cs="Garamond"/>
        </w:rPr>
        <w:t>transculturality, migrancy, home, space, relational perspective, dwelling</w:t>
      </w:r>
    </w:p>
    <w:p w14:paraId="4A18DFE8" w14:textId="77777777" w:rsidR="00101E0A" w:rsidRDefault="00101E0A" w:rsidP="00101E0A">
      <w:pPr>
        <w:spacing w:line="276" w:lineRule="auto"/>
        <w:rPr>
          <w:rFonts w:ascii="Garamond" w:eastAsia="Garamond" w:hAnsi="Garamond" w:cs="Garamond"/>
        </w:rPr>
      </w:pPr>
    </w:p>
    <w:p w14:paraId="3752A997" w14:textId="77777777" w:rsidR="00101E0A" w:rsidRPr="0038056A" w:rsidRDefault="00101E0A" w:rsidP="00101E0A">
      <w:pPr>
        <w:spacing w:line="276" w:lineRule="auto"/>
        <w:rPr>
          <w:rFonts w:ascii="Garamond" w:eastAsia="Garamond" w:hAnsi="Garamond" w:cs="Garamond"/>
        </w:rPr>
      </w:pPr>
    </w:p>
    <w:p w14:paraId="7940C551" w14:textId="77777777" w:rsidR="00101E0A" w:rsidRDefault="00101E0A" w:rsidP="00101E0A">
      <w:pPr>
        <w:spacing w:line="276" w:lineRule="auto"/>
        <w:rPr>
          <w:rFonts w:ascii="Garamond" w:eastAsia="Garamond" w:hAnsi="Garamond" w:cs="Garamond"/>
        </w:rPr>
      </w:pPr>
    </w:p>
    <w:p w14:paraId="44DEAEDC" w14:textId="77777777" w:rsidR="00101E0A" w:rsidRDefault="00101E0A" w:rsidP="00101E0A">
      <w:pPr>
        <w:spacing w:line="276" w:lineRule="auto"/>
        <w:rPr>
          <w:rFonts w:ascii="Garamond" w:eastAsia="Garamond" w:hAnsi="Garamond" w:cs="Garamond"/>
        </w:rPr>
      </w:pPr>
    </w:p>
    <w:p w14:paraId="2DE7001F" w14:textId="77777777" w:rsidR="00101E0A" w:rsidRPr="0038056A" w:rsidRDefault="00101E0A" w:rsidP="00101E0A">
      <w:pPr>
        <w:spacing w:line="276" w:lineRule="auto"/>
        <w:rPr>
          <w:rFonts w:ascii="Garamond" w:eastAsia="Garamond" w:hAnsi="Garamond" w:cs="Garamond"/>
        </w:rPr>
      </w:pPr>
    </w:p>
    <w:p w14:paraId="09605A3B" w14:textId="77777777" w:rsidR="00101E0A" w:rsidRPr="00485E27" w:rsidRDefault="00101E0A" w:rsidP="00101E0A">
      <w:pPr>
        <w:spacing w:line="276" w:lineRule="auto"/>
        <w:rPr>
          <w:rFonts w:ascii="Garamond" w:eastAsia="Garamond" w:hAnsi="Garamond" w:cs="Garamond"/>
        </w:rPr>
      </w:pPr>
    </w:p>
    <w:p w14:paraId="092B5A33" w14:textId="77777777" w:rsidR="00101E0A" w:rsidRDefault="00101E0A" w:rsidP="0570AC43">
      <w:pPr>
        <w:spacing w:line="276" w:lineRule="auto"/>
        <w:rPr>
          <w:rFonts w:ascii="Garamond" w:eastAsia="Times New Roman" w:hAnsi="Garamond" w:cs="Times New Roman"/>
          <w:b/>
          <w:bCs/>
          <w:sz w:val="28"/>
          <w:szCs w:val="28"/>
        </w:rPr>
      </w:pPr>
    </w:p>
    <w:p w14:paraId="083EBB63" w14:textId="2E944517" w:rsidR="008B52C8" w:rsidRDefault="007F799A" w:rsidP="0570AC43">
      <w:pPr>
        <w:spacing w:line="276" w:lineRule="auto"/>
        <w:rPr>
          <w:rFonts w:ascii="Garamond" w:hAnsi="Garamond"/>
        </w:rPr>
      </w:pPr>
      <w:r w:rsidRPr="007F799A">
        <w:rPr>
          <w:rFonts w:ascii="Garamond" w:eastAsia="Times New Roman" w:hAnsi="Garamond" w:cs="Times New Roman"/>
          <w:b/>
          <w:bCs/>
          <w:sz w:val="28"/>
          <w:szCs w:val="28"/>
        </w:rPr>
        <w:t>“Translation Studies Isn’t Something That I Do”: Why Does a Translation Theorist Not Admit to Doing Translation Studies? </w:t>
      </w:r>
    </w:p>
    <w:p w14:paraId="4101EC7B" w14:textId="05C674BF" w:rsidR="00A168F0" w:rsidRDefault="007F799A" w:rsidP="0570AC43">
      <w:pPr>
        <w:spacing w:line="276" w:lineRule="auto"/>
        <w:rPr>
          <w:rFonts w:ascii="Garamond" w:hAnsi="Garamond"/>
        </w:rPr>
      </w:pPr>
      <w:r>
        <w:rPr>
          <w:rFonts w:ascii="Garamond" w:hAnsi="Garamond"/>
        </w:rPr>
        <w:t>Lin Zhang</w:t>
      </w:r>
    </w:p>
    <w:p w14:paraId="416C362A" w14:textId="77777777" w:rsidR="00A168F0" w:rsidRPr="00A168F0" w:rsidRDefault="00A168F0" w:rsidP="0570AC43">
      <w:pPr>
        <w:spacing w:line="276" w:lineRule="auto"/>
        <w:rPr>
          <w:rFonts w:ascii="Garamond" w:hAnsi="Garamond"/>
        </w:rPr>
      </w:pPr>
    </w:p>
    <w:p w14:paraId="025F3D36" w14:textId="77777777" w:rsidR="007F799A" w:rsidRPr="007F799A" w:rsidRDefault="00571F81" w:rsidP="007F799A">
      <w:pPr>
        <w:spacing w:line="276" w:lineRule="auto"/>
        <w:rPr>
          <w:rFonts w:ascii="Garamond" w:eastAsia="Garamond" w:hAnsi="Garamond" w:cs="Garamond"/>
          <w:shd w:val="clear" w:color="auto" w:fill="FEFEFE"/>
        </w:rPr>
      </w:pPr>
      <w:r w:rsidRPr="47C3A08F">
        <w:rPr>
          <w:rFonts w:ascii="Garamond" w:eastAsia="Garamond" w:hAnsi="Garamond" w:cs="Garamond"/>
          <w:b/>
          <w:bCs/>
          <w:shd w:val="clear" w:color="auto" w:fill="FEFEFE"/>
        </w:rPr>
        <w:t>Abstract</w:t>
      </w:r>
      <w:r w:rsidR="00F969FC" w:rsidRPr="47C3A08F">
        <w:rPr>
          <w:rFonts w:ascii="Garamond" w:eastAsia="Garamond" w:hAnsi="Garamond" w:cs="Garamond"/>
          <w:b/>
          <w:bCs/>
          <w:shd w:val="clear" w:color="auto" w:fill="FEFEFE"/>
        </w:rPr>
        <w:t>:</w:t>
      </w:r>
      <w:r w:rsidR="00F969FC" w:rsidRPr="47C3A08F">
        <w:rPr>
          <w:rFonts w:ascii="Garamond" w:eastAsia="Garamond" w:hAnsi="Garamond" w:cs="Garamond"/>
          <w:shd w:val="clear" w:color="auto" w:fill="FEFEFE"/>
        </w:rPr>
        <w:t xml:space="preserve"> </w:t>
      </w:r>
      <w:r w:rsidR="007F799A" w:rsidRPr="007F799A">
        <w:rPr>
          <w:rFonts w:ascii="Garamond" w:eastAsia="Garamond" w:hAnsi="Garamond" w:cs="Garamond"/>
          <w:shd w:val="clear" w:color="auto" w:fill="FEFEFE"/>
        </w:rPr>
        <w:t>This article discusses Lydia Liu’s shocking indifference toward translation studies. Liu, a world-renowned humanities scholar from Columbia University in the United States, who also does important research on translation, distances her work from translation studies through the naming strategies reflected in the English and Chinese designations of her approach to translation and through the politics of citation. This article argues that Liu’s continued distancing from translation studies is a mirror of the US academic atmosphere that maintains its indifference or even hostility toward translation studies while translation studies has grown into a discipline and been institutionalized in many other quarters of the globe. I call for serious engagement with translation studies from US academia, with a view to helping translation studies win recognition in the United States. </w:t>
      </w:r>
    </w:p>
    <w:p w14:paraId="1ABBF43F" w14:textId="77777777" w:rsidR="007F799A" w:rsidRPr="007F799A" w:rsidRDefault="007F799A" w:rsidP="007F799A">
      <w:pPr>
        <w:spacing w:line="276" w:lineRule="auto"/>
        <w:rPr>
          <w:rFonts w:ascii="Garamond" w:eastAsia="Garamond" w:hAnsi="Garamond" w:cs="Garamond"/>
          <w:shd w:val="clear" w:color="auto" w:fill="FEFEFE"/>
        </w:rPr>
      </w:pPr>
      <w:r w:rsidRPr="007F799A">
        <w:rPr>
          <w:rFonts w:ascii="Garamond" w:eastAsia="Garamond" w:hAnsi="Garamond" w:cs="Garamond"/>
          <w:shd w:val="clear" w:color="auto" w:fill="FEFEFE"/>
        </w:rPr>
        <w:t> </w:t>
      </w:r>
    </w:p>
    <w:p w14:paraId="3795CE23" w14:textId="77777777" w:rsidR="007F799A" w:rsidRPr="007F799A" w:rsidRDefault="007F799A" w:rsidP="007F799A">
      <w:pPr>
        <w:spacing w:line="276" w:lineRule="auto"/>
        <w:rPr>
          <w:rFonts w:ascii="Garamond" w:eastAsia="Garamond" w:hAnsi="Garamond" w:cs="Garamond"/>
          <w:b/>
          <w:bCs/>
          <w:shd w:val="clear" w:color="auto" w:fill="FEFEFE"/>
        </w:rPr>
      </w:pPr>
      <w:r w:rsidRPr="007F799A">
        <w:rPr>
          <w:rFonts w:ascii="Garamond" w:eastAsia="Garamond" w:hAnsi="Garamond" w:cs="Garamond"/>
          <w:b/>
          <w:bCs/>
          <w:shd w:val="clear" w:color="auto" w:fill="FEFEFE"/>
        </w:rPr>
        <w:t>Keywords: </w:t>
      </w:r>
    </w:p>
    <w:p w14:paraId="0911D681" w14:textId="77777777" w:rsidR="007F799A" w:rsidRPr="007F799A" w:rsidRDefault="007F799A" w:rsidP="007F799A">
      <w:pPr>
        <w:spacing w:line="276" w:lineRule="auto"/>
        <w:rPr>
          <w:rFonts w:ascii="Garamond" w:eastAsia="Garamond" w:hAnsi="Garamond" w:cs="Garamond"/>
          <w:shd w:val="clear" w:color="auto" w:fill="FEFEFE"/>
        </w:rPr>
      </w:pPr>
      <w:r w:rsidRPr="007F799A">
        <w:rPr>
          <w:rFonts w:ascii="Garamond" w:eastAsia="Garamond" w:hAnsi="Garamond" w:cs="Garamond"/>
          <w:shd w:val="clear" w:color="auto" w:fill="FEFEFE"/>
        </w:rPr>
        <w:t>indifference, marginalization, Lydia Liu, US academia, the politics of citation, translator (in)visibility, translation studies, translation theory </w:t>
      </w:r>
    </w:p>
    <w:p w14:paraId="4B893546" w14:textId="0C5ED8C6" w:rsidR="00F969FC" w:rsidRDefault="00F969FC" w:rsidP="007F799A">
      <w:pPr>
        <w:spacing w:line="276" w:lineRule="auto"/>
        <w:rPr>
          <w:rFonts w:ascii="Garamond" w:eastAsia="Garamond" w:hAnsi="Garamond" w:cs="Garamond"/>
          <w:color w:val="000000" w:themeColor="text1"/>
          <w:shd w:val="clear" w:color="auto" w:fill="FEFEFE"/>
        </w:rPr>
      </w:pPr>
    </w:p>
    <w:p w14:paraId="1BAA90A0" w14:textId="797AFE6C" w:rsidR="00A168F0" w:rsidRDefault="00A168F0" w:rsidP="0570AC43">
      <w:pPr>
        <w:spacing w:line="276" w:lineRule="auto"/>
        <w:rPr>
          <w:rFonts w:ascii="Garamond" w:eastAsia="Times New Roman" w:hAnsi="Garamond" w:cs="Times New Roman"/>
          <w:shd w:val="clear" w:color="auto" w:fill="FEFEFE"/>
        </w:rPr>
      </w:pPr>
    </w:p>
    <w:p w14:paraId="4C5149BF" w14:textId="7957A99C" w:rsidR="008469F1" w:rsidRPr="00D53FEE" w:rsidRDefault="008469F1" w:rsidP="00D3356C">
      <w:pPr>
        <w:spacing w:line="276" w:lineRule="auto"/>
        <w:rPr>
          <w:rFonts w:ascii="Garamond" w:eastAsia="Times New Roman" w:hAnsi="Garamond" w:cs="Times New Roman"/>
        </w:rPr>
      </w:pPr>
    </w:p>
    <w:p w14:paraId="0690C9AF" w14:textId="045399BA" w:rsidR="008469F1" w:rsidRDefault="008469F1" w:rsidP="0570AC43">
      <w:pPr>
        <w:spacing w:line="276" w:lineRule="auto"/>
        <w:rPr>
          <w:rFonts w:ascii="Garamond" w:eastAsia="Times New Roman" w:hAnsi="Garamond" w:cs="Times New Roman"/>
        </w:rPr>
      </w:pPr>
    </w:p>
    <w:p w14:paraId="42268AD4" w14:textId="77777777" w:rsidR="00D3356C" w:rsidRDefault="00D3356C" w:rsidP="0570AC43">
      <w:pPr>
        <w:spacing w:line="276" w:lineRule="auto"/>
        <w:rPr>
          <w:rFonts w:ascii="Garamond" w:eastAsia="Times New Roman" w:hAnsi="Garamond" w:cs="Times New Roman"/>
        </w:rPr>
      </w:pPr>
    </w:p>
    <w:p w14:paraId="74CD39C9" w14:textId="77777777" w:rsidR="00D3356C" w:rsidRDefault="00D3356C" w:rsidP="0570AC43">
      <w:pPr>
        <w:spacing w:line="276" w:lineRule="auto"/>
        <w:rPr>
          <w:rFonts w:ascii="Garamond" w:eastAsia="Times New Roman" w:hAnsi="Garamond" w:cs="Times New Roman"/>
        </w:rPr>
      </w:pPr>
    </w:p>
    <w:p w14:paraId="2067F6AF" w14:textId="77777777" w:rsidR="00D3356C" w:rsidRPr="00D53FEE" w:rsidRDefault="00D3356C" w:rsidP="0570AC43">
      <w:pPr>
        <w:spacing w:line="276" w:lineRule="auto"/>
        <w:rPr>
          <w:rFonts w:ascii="Garamond" w:eastAsia="Times New Roman" w:hAnsi="Garamond" w:cs="Times New Roman"/>
        </w:rPr>
      </w:pPr>
    </w:p>
    <w:p w14:paraId="784DAE36" w14:textId="38FDD714" w:rsidR="001F56C0" w:rsidRDefault="001F56C0" w:rsidP="00485E27">
      <w:pPr>
        <w:spacing w:line="276" w:lineRule="auto"/>
        <w:rPr>
          <w:rFonts w:ascii="Garamond" w:eastAsia="Garamond" w:hAnsi="Garamond" w:cs="Garamond"/>
        </w:rPr>
      </w:pPr>
    </w:p>
    <w:p w14:paraId="31017050" w14:textId="77777777" w:rsidR="001F56C0" w:rsidRDefault="001F56C0" w:rsidP="0570AC43">
      <w:pPr>
        <w:spacing w:line="276" w:lineRule="auto"/>
        <w:rPr>
          <w:rFonts w:ascii="Garamond" w:eastAsia="Garamond" w:hAnsi="Garamond" w:cs="Garamond"/>
        </w:rPr>
      </w:pPr>
    </w:p>
    <w:sectPr w:rsidR="001F56C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F1"/>
    <w:rsid w:val="00040567"/>
    <w:rsid w:val="00056882"/>
    <w:rsid w:val="000A14F7"/>
    <w:rsid w:val="00101928"/>
    <w:rsid w:val="00101E0A"/>
    <w:rsid w:val="001F56C0"/>
    <w:rsid w:val="002456EF"/>
    <w:rsid w:val="00251ABA"/>
    <w:rsid w:val="002C0CC8"/>
    <w:rsid w:val="002F379E"/>
    <w:rsid w:val="0030074C"/>
    <w:rsid w:val="0038056A"/>
    <w:rsid w:val="00380DAA"/>
    <w:rsid w:val="00392634"/>
    <w:rsid w:val="00485E27"/>
    <w:rsid w:val="004B78CD"/>
    <w:rsid w:val="004C66F3"/>
    <w:rsid w:val="005060D5"/>
    <w:rsid w:val="00523EF5"/>
    <w:rsid w:val="00571F81"/>
    <w:rsid w:val="00586160"/>
    <w:rsid w:val="005D6237"/>
    <w:rsid w:val="005E58D0"/>
    <w:rsid w:val="00657180"/>
    <w:rsid w:val="00682DD9"/>
    <w:rsid w:val="00695985"/>
    <w:rsid w:val="00700900"/>
    <w:rsid w:val="00763442"/>
    <w:rsid w:val="007F799A"/>
    <w:rsid w:val="0080317B"/>
    <w:rsid w:val="008469F1"/>
    <w:rsid w:val="008B52C8"/>
    <w:rsid w:val="008D67E7"/>
    <w:rsid w:val="008E707A"/>
    <w:rsid w:val="00925B53"/>
    <w:rsid w:val="0093521A"/>
    <w:rsid w:val="00A168F0"/>
    <w:rsid w:val="00AE6314"/>
    <w:rsid w:val="00BB0951"/>
    <w:rsid w:val="00C05D5C"/>
    <w:rsid w:val="00C138AD"/>
    <w:rsid w:val="00C13947"/>
    <w:rsid w:val="00C44D8F"/>
    <w:rsid w:val="00C63370"/>
    <w:rsid w:val="00D30AAA"/>
    <w:rsid w:val="00D3356C"/>
    <w:rsid w:val="00D53FEE"/>
    <w:rsid w:val="00D93FEB"/>
    <w:rsid w:val="00DF136E"/>
    <w:rsid w:val="00E04114"/>
    <w:rsid w:val="00ED3986"/>
    <w:rsid w:val="00EE101C"/>
    <w:rsid w:val="00F6E236"/>
    <w:rsid w:val="00F969FC"/>
    <w:rsid w:val="0570AC43"/>
    <w:rsid w:val="0C804353"/>
    <w:rsid w:val="0DD08586"/>
    <w:rsid w:val="29BA2631"/>
    <w:rsid w:val="364CB1E8"/>
    <w:rsid w:val="39769093"/>
    <w:rsid w:val="45650D79"/>
    <w:rsid w:val="47C3A08F"/>
    <w:rsid w:val="49A6D867"/>
    <w:rsid w:val="53E08BDF"/>
    <w:rsid w:val="5637F4D0"/>
    <w:rsid w:val="59879940"/>
    <w:rsid w:val="5B366E88"/>
    <w:rsid w:val="60D83FBC"/>
    <w:rsid w:val="697712DE"/>
    <w:rsid w:val="74D8FF9B"/>
    <w:rsid w:val="7CEEC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8EB3"/>
  <w15:chartTrackingRefBased/>
  <w15:docId w15:val="{4205E72C-DB92-B148-9532-401C2B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749">
      <w:bodyDiv w:val="1"/>
      <w:marLeft w:val="0"/>
      <w:marRight w:val="0"/>
      <w:marTop w:val="0"/>
      <w:marBottom w:val="0"/>
      <w:divBdr>
        <w:top w:val="none" w:sz="0" w:space="0" w:color="auto"/>
        <w:left w:val="none" w:sz="0" w:space="0" w:color="auto"/>
        <w:bottom w:val="none" w:sz="0" w:space="0" w:color="auto"/>
        <w:right w:val="none" w:sz="0" w:space="0" w:color="auto"/>
      </w:divBdr>
    </w:div>
    <w:div w:id="637104673">
      <w:bodyDiv w:val="1"/>
      <w:marLeft w:val="0"/>
      <w:marRight w:val="0"/>
      <w:marTop w:val="0"/>
      <w:marBottom w:val="0"/>
      <w:divBdr>
        <w:top w:val="none" w:sz="0" w:space="0" w:color="auto"/>
        <w:left w:val="none" w:sz="0" w:space="0" w:color="auto"/>
        <w:bottom w:val="none" w:sz="0" w:space="0" w:color="auto"/>
        <w:right w:val="none" w:sz="0" w:space="0" w:color="auto"/>
      </w:divBdr>
    </w:div>
    <w:div w:id="1199780917">
      <w:bodyDiv w:val="1"/>
      <w:marLeft w:val="0"/>
      <w:marRight w:val="0"/>
      <w:marTop w:val="0"/>
      <w:marBottom w:val="0"/>
      <w:divBdr>
        <w:top w:val="none" w:sz="0" w:space="0" w:color="auto"/>
        <w:left w:val="none" w:sz="0" w:space="0" w:color="auto"/>
        <w:bottom w:val="none" w:sz="0" w:space="0" w:color="auto"/>
        <w:right w:val="none" w:sz="0" w:space="0" w:color="auto"/>
      </w:divBdr>
    </w:div>
    <w:div w:id="1442844679">
      <w:bodyDiv w:val="1"/>
      <w:marLeft w:val="0"/>
      <w:marRight w:val="0"/>
      <w:marTop w:val="0"/>
      <w:marBottom w:val="0"/>
      <w:divBdr>
        <w:top w:val="none" w:sz="0" w:space="0" w:color="auto"/>
        <w:left w:val="none" w:sz="0" w:space="0" w:color="auto"/>
        <w:bottom w:val="none" w:sz="0" w:space="0" w:color="auto"/>
        <w:right w:val="none" w:sz="0" w:space="0" w:color="auto"/>
      </w:divBdr>
    </w:div>
    <w:div w:id="1448739978">
      <w:bodyDiv w:val="1"/>
      <w:marLeft w:val="0"/>
      <w:marRight w:val="0"/>
      <w:marTop w:val="0"/>
      <w:marBottom w:val="0"/>
      <w:divBdr>
        <w:top w:val="none" w:sz="0" w:space="0" w:color="auto"/>
        <w:left w:val="none" w:sz="0" w:space="0" w:color="auto"/>
        <w:bottom w:val="none" w:sz="0" w:space="0" w:color="auto"/>
        <w:right w:val="none" w:sz="0" w:space="0" w:color="auto"/>
      </w:divBdr>
    </w:div>
    <w:div w:id="18373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1551</Words>
  <Characters>9248</Characters>
  <Application>Microsoft Office Word</Application>
  <DocSecurity>0</DocSecurity>
  <Lines>168</Lines>
  <Paragraphs>42</Paragraphs>
  <ScaleCrop>false</ScaleCrop>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Editorial Reader</dc:creator>
  <cp:keywords/>
  <dc:description/>
  <cp:lastModifiedBy>Hansen, Joe</cp:lastModifiedBy>
  <cp:revision>10</cp:revision>
  <dcterms:created xsi:type="dcterms:W3CDTF">2026-02-16T18:24:00Z</dcterms:created>
  <dcterms:modified xsi:type="dcterms:W3CDTF">2026-04-06T22:31:00Z</dcterms:modified>
</cp:coreProperties>
</file>